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24</w:t>
      </w:r>
      <w:r>
        <w:rPr>
          <w:rFonts w:hint="eastAsia" w:ascii="黑体" w:hAnsi="黑体" w:eastAsia="黑体" w:cs="黑体"/>
          <w:bCs/>
          <w:sz w:val="44"/>
          <w:szCs w:val="44"/>
        </w:rPr>
        <w:t>年度</w:t>
      </w: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三门峡经济开发区经济发展部</w:t>
      </w:r>
    </w:p>
    <w:p>
      <w:pPr>
        <w:jc w:val="center"/>
        <w:rPr>
          <w:rFonts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预算公开</w:t>
      </w:r>
    </w:p>
    <w:p>
      <w:pPr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目 录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 xml:space="preserve">第一部分  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概况</w:t>
      </w:r>
    </w:p>
    <w:p>
      <w:pPr>
        <w:pStyle w:val="8"/>
        <w:numPr>
          <w:ilvl w:val="0"/>
          <w:numId w:val="0"/>
        </w:numPr>
        <w:ind w:left="1363" w:leftChars="0" w:hanging="720" w:firstLineChars="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主要职能</w:t>
      </w:r>
    </w:p>
    <w:p>
      <w:pPr>
        <w:pStyle w:val="8"/>
        <w:numPr>
          <w:ilvl w:val="0"/>
          <w:numId w:val="0"/>
        </w:numPr>
        <w:ind w:left="1363" w:leftChars="0" w:hanging="720" w:firstLineChars="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机构设置</w:t>
      </w:r>
    </w:p>
    <w:p>
      <w:pPr>
        <w:pStyle w:val="8"/>
        <w:numPr>
          <w:ilvl w:val="0"/>
          <w:numId w:val="0"/>
        </w:numPr>
        <w:ind w:left="1363" w:leftChars="0" w:hanging="720" w:firstLineChars="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部门所属预算单位构成情况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 xml:space="preserve">第二部分  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年度部门预算情况说明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第三部分  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年度部门预算表</w:t>
      </w:r>
    </w:p>
    <w:p>
      <w:pPr>
        <w:pStyle w:val="8"/>
        <w:ind w:firstLine="64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一、部门收支总体情况表</w:t>
      </w:r>
    </w:p>
    <w:p>
      <w:pPr>
        <w:pStyle w:val="8"/>
        <w:ind w:firstLine="64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二、部门收入总体情况表</w:t>
      </w:r>
    </w:p>
    <w:p>
      <w:pPr>
        <w:pStyle w:val="8"/>
        <w:ind w:firstLine="64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三、部门支出总体情况表</w:t>
      </w:r>
    </w:p>
    <w:p>
      <w:pPr>
        <w:pStyle w:val="8"/>
        <w:ind w:firstLine="64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四、财政拨款收支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总体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情况表</w:t>
      </w:r>
    </w:p>
    <w:p>
      <w:pPr>
        <w:pStyle w:val="8"/>
        <w:ind w:firstLine="64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五、一般公共预算支出情况表</w:t>
      </w:r>
    </w:p>
    <w:p>
      <w:pPr>
        <w:pStyle w:val="8"/>
        <w:ind w:firstLine="64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六、一般公共预算基本支出情况表</w:t>
      </w:r>
    </w:p>
    <w:p>
      <w:pPr>
        <w:pStyle w:val="8"/>
        <w:ind w:firstLine="640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七、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支出经济分类汇总表</w:t>
      </w:r>
    </w:p>
    <w:p>
      <w:pPr>
        <w:pStyle w:val="8"/>
        <w:ind w:firstLine="640"/>
        <w:jc w:val="left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八、一般公共预算“三公”经费支出情况表</w:t>
      </w:r>
    </w:p>
    <w:p>
      <w:pPr>
        <w:pStyle w:val="8"/>
        <w:ind w:firstLine="64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九、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政府性基金预算支出情况表</w:t>
      </w:r>
    </w:p>
    <w:p>
      <w:pPr>
        <w:pStyle w:val="8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项目支出预算表</w:t>
      </w:r>
    </w:p>
    <w:p>
      <w:pPr>
        <w:pStyle w:val="8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十一、部门（单位）整体绩效目标表</w:t>
      </w:r>
    </w:p>
    <w:p>
      <w:pPr>
        <w:pStyle w:val="8"/>
        <w:jc w:val="left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十二、部门预算项目绩效目标汇总表</w:t>
      </w:r>
    </w:p>
    <w:p>
      <w:pPr>
        <w:pStyle w:val="8"/>
        <w:ind w:left="1260" w:firstLine="0" w:firstLineChars="0"/>
        <w:jc w:val="lef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pStyle w:val="8"/>
        <w:ind w:left="1260" w:firstLine="0" w:firstLineChars="0"/>
        <w:jc w:val="lef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pStyle w:val="8"/>
        <w:ind w:firstLine="0" w:firstLineChars="0"/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第一部分</w:t>
      </w:r>
    </w:p>
    <w:p>
      <w:pPr>
        <w:pStyle w:val="8"/>
        <w:ind w:firstLine="0" w:firstLineChars="0"/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黑体" w:hAnsi="黑体" w:eastAsia="黑体" w:cs="黑体"/>
          <w:b/>
          <w:sz w:val="32"/>
          <w:szCs w:val="32"/>
        </w:rPr>
        <w:t>概况</w:t>
      </w:r>
    </w:p>
    <w:p>
      <w:pPr>
        <w:pStyle w:val="8"/>
        <w:numPr>
          <w:ilvl w:val="0"/>
          <w:numId w:val="1"/>
        </w:numPr>
        <w:ind w:firstLine="643" w:firstLineChars="200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主要职责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（一）负责拟定开发区国民经济和社会发展规划与产业发展规划。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（二）负责项目投资管理工作，负责重大项目及固定资产投资管理工作。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（三）负责经济运行监测、企业协调管理，负责数据统计、数据分析、普查管理工作。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（四）统筹协调经济开发区各项数据考核指标。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（五）制定经济开发区招商引资政策并组织实施。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（六）推进国际国内经济合作、经济开发区对外贸易、对外开放和内外贸易促进活动，负责会展经济、商贸经济等工作。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（七）负责国家级经开区创建工作。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（八）负责统筹实施创新驱动战略。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（九）贯彻落实科技工作方针政策，拟定经济开发区科技发展有关政策，推动高新技术发展及产业化和科技创新工作，引导和孵化高科技项目，培育和促进新兴产业发展。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（十）会同有关部门拟定科技人才队伍建设规划并组织实施。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（十一）负责科技奖励工作及科技创新基金管理使用。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（十二）组织开展科技合作交流，组织技术引进、消化、吸收及创新工作。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（十三）负责高新技术项目服务前期工作。</w:t>
      </w:r>
    </w:p>
    <w:p>
      <w:pPr>
        <w:pStyle w:val="8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（十四）承担企业技改、投资管理、信息化与工业化融合、服务中小企业发展等工作。</w:t>
      </w:r>
    </w:p>
    <w:p>
      <w:pPr>
        <w:pStyle w:val="8"/>
        <w:numPr>
          <w:ilvl w:val="0"/>
          <w:numId w:val="0"/>
        </w:numPr>
        <w:ind w:firstLine="642"/>
        <w:jc w:val="left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（十五）负责工商联合等工作。  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</w:t>
      </w:r>
    </w:p>
    <w:p>
      <w:pPr>
        <w:pStyle w:val="8"/>
        <w:numPr>
          <w:ilvl w:val="0"/>
          <w:numId w:val="0"/>
        </w:numPr>
        <w:ind w:firstLine="642"/>
        <w:jc w:val="left"/>
        <w:rPr>
          <w:rFonts w:hint="default" w:ascii="仿宋_GB2312" w:hAnsi="仿宋_GB2312" w:eastAsia="仿宋_GB2312" w:cs="仿宋_GB2312"/>
          <w:b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机构设置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下设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有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个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科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室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即综合管理科、经贸发展科、计划统计科、项目服务科、科技管理科、工信科。</w:t>
      </w:r>
    </w:p>
    <w:p>
      <w:pPr>
        <w:pStyle w:val="8"/>
        <w:numPr>
          <w:ilvl w:val="0"/>
          <w:numId w:val="0"/>
        </w:numPr>
        <w:ind w:firstLine="642"/>
        <w:jc w:val="left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三、部门所属预算单位构成情况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根据部门预算管理有关规定，本预算为汇总预算，包括机关本级预算，具体是：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default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1.三门峡经济开发区经济发展部本级。</w:t>
      </w:r>
    </w:p>
    <w:p>
      <w:pPr>
        <w:pStyle w:val="8"/>
        <w:numPr>
          <w:ilvl w:val="0"/>
          <w:numId w:val="0"/>
        </w:numPr>
        <w:ind w:leftChars="0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2024</w:t>
      </w:r>
      <w:r>
        <w:rPr>
          <w:rFonts w:hint="eastAsia" w:ascii="黑体" w:hAnsi="黑体" w:eastAsia="黑体" w:cs="黑体"/>
          <w:sz w:val="32"/>
          <w:szCs w:val="32"/>
        </w:rPr>
        <w:t>年度部门预算情况说明</w:t>
      </w:r>
    </w:p>
    <w:p>
      <w:pPr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一、收入支出预算总体情况说明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年收入总计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1984.14万元，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支出总计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1984.14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与20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年相比，收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入增加792.18万元，增长66%。主要原因是：机构改革，合并工信与科技职能和人员。支出增加792.18万元，增长66%。主要原因是：机构改革，合并工信与科技职能和人员。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二、收入预算总体情况说明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年收入合计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1984.14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万元，其中：一般公共预算收入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1984.14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万元。</w:t>
      </w:r>
    </w:p>
    <w:p>
      <w:pPr>
        <w:numPr>
          <w:ilvl w:val="0"/>
          <w:numId w:val="0"/>
        </w:numPr>
        <w:ind w:lef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支出预算总体情况说明</w:t>
      </w:r>
    </w:p>
    <w:p>
      <w:pPr>
        <w:numPr>
          <w:ilvl w:val="0"/>
          <w:numId w:val="0"/>
        </w:numPr>
        <w:ind w:leftChars="0" w:firstLine="640" w:firstLineChars="200"/>
        <w:jc w:val="left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三门峡经济开发经济发展部2024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年支出合计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1984.14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万元，其中：基本支出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405.3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20.43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%；项目支出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1578.84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79.57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四、财政拨款收入支出预算总体情况说明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年一般公共预算收支预算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1984.14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万元，与20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年相比，一般公共预算收支预算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增加792.18万元，增长66%。主要原因是：机构改革，合并工信与科技职能和人员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五、一般公共预算支出预算情况说明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三门峡经济开发经济发展部2024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年一般公共预算支出年初预算为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1984.14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万元。其中基本支出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405.3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20.43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%；项目支出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1578.84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79.57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六、一般公共预算基本支出预算情况说明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三门峡经济开发区经济发展部2024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年一般公共预算基本支出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年初预算为405.3万元，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其中：人员经费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支出395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占97.46%；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公用经费支出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10.3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占2.54%。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支出预算经济分类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情况说明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按照《财政部关于印发&lt;支出经济分类科目改革方案&gt;的通知》（豫财预[2017]98号）要求，从201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年起全面实施支出经济分类科目改革，根据政府预算管理和部门预算管理的不同特点，分设部门预算支出经济分类科目和政府预算支出经济科目，两套科目之间保持对应关系。为适应改革要求，我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《支出经济分类汇总表》按两套经济分类科目分别反映不同资金来源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全部预算支出。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八、“三公”经费支出预算情况说明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年“三公”经费预算为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0.27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具体支出情况如下：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（一）因公出国（境）费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元。</w:t>
      </w:r>
    </w:p>
    <w:p>
      <w:pPr>
        <w:ind w:firstLine="643" w:firstLineChars="20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（二）公务接待费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0.27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主要用于公务接待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预算数比2023年减少0.13万元，下降32.5%，主要原因是公务接待减少。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（三）公务用车购置及运行费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万元。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、政府性基金预算支出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预算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情况说明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政府性基金预算支出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0万元，我部门本年无</w:t>
      </w:r>
      <w:r>
        <w:rPr>
          <w:rFonts w:hint="eastAsia" w:ascii="仿宋_GB2312" w:hAnsi="仿宋_GB2312" w:eastAsia="仿宋_GB2312" w:cs="仿宋_GB2312"/>
          <w:sz w:val="32"/>
          <w:szCs w:val="32"/>
        </w:rPr>
        <w:t>使用政府性基金预算拨款安排的支出。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十、其他重要事项的情况说明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（一）机关运行经费支出情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况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三门峡经济开发区经济发展部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年机关运行经费支出预算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万元，主要保障机构正常运转及正常履职需要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比2023年增加1.93万元，主要原因是机构改革，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合并工信与科技职能和人员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（二）政府采购支出情况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2024年政府采购预算安排0万元，其中：政府采购货物预算0万元、政府采购工程预算0万元、政府采购服务预算0万元。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关于预算绩效管理工作开展情况说明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2024年预算项目均按要求编制了绩效目标，从项目产出、项目效益、满意度等方面设置了绩效指标，综合反映项目预期完成的数量、实效、质量，预期达到的社会经济效益、可持续影响以及服务对象满意度等情况。</w:t>
      </w:r>
    </w:p>
    <w:p>
      <w:pPr>
        <w:numPr>
          <w:ilvl w:val="0"/>
          <w:numId w:val="0"/>
        </w:numPr>
        <w:tabs>
          <w:tab w:val="left" w:pos="1221"/>
        </w:tabs>
        <w:ind w:firstLine="643" w:firstLineChars="200"/>
        <w:rPr>
          <w:rFonts w:hint="eastAsia" w:ascii="仿宋_GB2312" w:hAnsi="仿宋_GB2312" w:eastAsia="仿宋_GB2312" w:cs="仿宋_GB2312"/>
          <w:b/>
          <w:bCs/>
          <w:color w:val="4444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（四）国有资产占有情况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年期末，我单位共有车辆0辆；单价50万元以上通用设备0台，单位价值100万元以上专用设备0台。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（五）专项转移支付项目情况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我单位负责管理的专项转移支付项目共有0项。</w:t>
      </w:r>
    </w:p>
    <w:p>
      <w:pPr>
        <w:jc w:val="center"/>
        <w:rPr>
          <w:rFonts w:ascii="黑体" w:hAnsi="黑体" w:eastAsia="黑体" w:cs="黑体"/>
          <w:color w:val="444444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444444"/>
          <w:sz w:val="32"/>
          <w:szCs w:val="32"/>
        </w:rPr>
        <w:t>第三部分</w:t>
      </w:r>
    </w:p>
    <w:p>
      <w:pPr>
        <w:jc w:val="center"/>
        <w:rPr>
          <w:rStyle w:val="7"/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Style w:val="7"/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名词解释</w:t>
      </w:r>
    </w:p>
    <w:p>
      <w:pPr>
        <w:kinsoku w:val="0"/>
        <w:overflowPunct w:val="0"/>
        <w:autoSpaceDE w:val="0"/>
        <w:autoSpaceDN w:val="0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一、财政拨款收入：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是指市级财政当年拨付的资金。</w:t>
      </w:r>
    </w:p>
    <w:p>
      <w:pPr>
        <w:kinsoku w:val="0"/>
        <w:overflowPunct w:val="0"/>
        <w:autoSpaceDE w:val="0"/>
        <w:autoSpaceDN w:val="0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二、事业收入：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是指事业单位开展专业活动及辅助活动所取得的收入。</w:t>
      </w:r>
    </w:p>
    <w:p>
      <w:pPr>
        <w:kinsoku w:val="0"/>
        <w:overflowPunct w:val="0"/>
        <w:autoSpaceDE w:val="0"/>
        <w:autoSpaceDN w:val="0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三、其他收入：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是指部门取得的除“财政拨款”、“事业收入”、“事业单位经营收入”等以外的收入。 </w:t>
      </w:r>
    </w:p>
    <w:p>
      <w:pPr>
        <w:kinsoku w:val="0"/>
        <w:overflowPunct w:val="0"/>
        <w:autoSpaceDE w:val="0"/>
        <w:autoSpaceDN w:val="0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四、用事业基金弥补收支差额：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当年收支缺口的资金。</w:t>
      </w:r>
    </w:p>
    <w:p>
      <w:pPr>
        <w:kinsoku w:val="0"/>
        <w:overflowPunct w:val="0"/>
        <w:autoSpaceDE w:val="0"/>
        <w:autoSpaceDN w:val="0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五、基本支出：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是指为保障机构正常运转、完成日常工作任务所必需的开支，其内容包括人员经费和日常公用经费两部分。</w:t>
      </w:r>
    </w:p>
    <w:p>
      <w:pPr>
        <w:kinsoku w:val="0"/>
        <w:overflowPunct w:val="0"/>
        <w:autoSpaceDE w:val="0"/>
        <w:autoSpaceDN w:val="0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六、项目支出：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是指在基本支出之外，为完成特定的行政工作任务或事业发展目标所发生的支出。</w:t>
      </w:r>
    </w:p>
    <w:p>
      <w:pPr>
        <w:kinsoku w:val="0"/>
        <w:overflowPunct w:val="0"/>
        <w:autoSpaceDE w:val="0"/>
        <w:autoSpaceDN w:val="0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七、“三公”经费：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纳入市级财政预算管理，部门使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>
      <w:pPr>
        <w:kinsoku w:val="0"/>
        <w:overflowPunct w:val="0"/>
        <w:autoSpaceDE w:val="0"/>
        <w:autoSpaceDN w:val="0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八、机关运行经费：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为保障行政单位（含参照公务员法管理的事业单位）运行用于购买货物和服务的各项资金，包括办公及印刷费、邮电费、差旅费、会议费、福利费、日常维修费及一般设备购置费、办公用房水电费、办公用房取暖费、办公用房物业管理费、公务用车运行维护费以及其他费用。</w:t>
      </w:r>
    </w:p>
    <w:p>
      <w:pPr>
        <w:jc w:val="left"/>
        <w:rPr>
          <w:rFonts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附件：</w:t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  <w:lang w:val="en-US" w:eastAsia="zh-CN"/>
        </w:rPr>
        <w:t>三门峡经经济开发经济发展部</w:t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年度部门</w:t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  <w:lang w:eastAsia="zh-CN"/>
        </w:rPr>
        <w:t>收支</w:t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预算表</w:t>
      </w:r>
    </w:p>
    <w:p>
      <w:pPr>
        <w:ind w:left="160"/>
        <w:jc w:val="left"/>
        <w:rPr>
          <w:rFonts w:hint="eastAsia" w:ascii="仿宋_GB2312" w:hAnsi="仿宋_GB2312" w:cs="仿宋_GB2312" w:eastAsiaTheme="minorEastAsia"/>
          <w:b/>
          <w:bCs/>
          <w:sz w:val="28"/>
          <w:szCs w:val="28"/>
          <w:lang w:val="en-US" w:eastAsia="zh-CN"/>
        </w:rPr>
      </w:pPr>
      <w:r>
        <w:rPr>
          <w:rFonts w:ascii="Tahoma" w:hAnsi="Tahoma" w:cs="Tahoma"/>
          <w:color w:val="444444"/>
          <w:sz w:val="27"/>
          <w:szCs w:val="27"/>
        </w:rPr>
        <w:br w:type="textWrapping"/>
      </w:r>
      <w:r>
        <w:rPr>
          <w:rFonts w:hint="eastAsia" w:ascii="Tahoma" w:hAnsi="Tahoma" w:cs="Tahoma"/>
          <w:color w:val="444444"/>
          <w:sz w:val="27"/>
          <w:szCs w:val="27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86BA9C"/>
    <w:multiLevelType w:val="singleLevel"/>
    <w:tmpl w:val="6386BA9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hmYzg3Y2FiM2MwMmM1NDkyOGVkY2Q4NTQyNWVkNzkifQ=="/>
  </w:docVars>
  <w:rsids>
    <w:rsidRoot w:val="00433D11"/>
    <w:rsid w:val="00125A93"/>
    <w:rsid w:val="00295113"/>
    <w:rsid w:val="003D0122"/>
    <w:rsid w:val="00433D11"/>
    <w:rsid w:val="00472988"/>
    <w:rsid w:val="0048199A"/>
    <w:rsid w:val="00511713"/>
    <w:rsid w:val="0056466F"/>
    <w:rsid w:val="005F1520"/>
    <w:rsid w:val="00830C1C"/>
    <w:rsid w:val="008F5129"/>
    <w:rsid w:val="009B330A"/>
    <w:rsid w:val="00AF1525"/>
    <w:rsid w:val="00B61B1F"/>
    <w:rsid w:val="00B71510"/>
    <w:rsid w:val="00B95A3B"/>
    <w:rsid w:val="00D70BAC"/>
    <w:rsid w:val="00E76038"/>
    <w:rsid w:val="00F535C6"/>
    <w:rsid w:val="00FD526D"/>
    <w:rsid w:val="039667A9"/>
    <w:rsid w:val="047059A0"/>
    <w:rsid w:val="08065E29"/>
    <w:rsid w:val="08755298"/>
    <w:rsid w:val="094E3C78"/>
    <w:rsid w:val="09693C45"/>
    <w:rsid w:val="0EFB1BB6"/>
    <w:rsid w:val="129739A4"/>
    <w:rsid w:val="16694582"/>
    <w:rsid w:val="19EC0BE7"/>
    <w:rsid w:val="1AC141D4"/>
    <w:rsid w:val="1C421A5D"/>
    <w:rsid w:val="1C876DAC"/>
    <w:rsid w:val="1CB87339"/>
    <w:rsid w:val="1D6A3171"/>
    <w:rsid w:val="204C04C4"/>
    <w:rsid w:val="219F6323"/>
    <w:rsid w:val="24CB48E0"/>
    <w:rsid w:val="256760CE"/>
    <w:rsid w:val="25B24C6F"/>
    <w:rsid w:val="2BC463C9"/>
    <w:rsid w:val="2E8E32B8"/>
    <w:rsid w:val="2F854E58"/>
    <w:rsid w:val="2F9275E8"/>
    <w:rsid w:val="301C65D9"/>
    <w:rsid w:val="305E1404"/>
    <w:rsid w:val="306062F0"/>
    <w:rsid w:val="35EB283D"/>
    <w:rsid w:val="3644343A"/>
    <w:rsid w:val="37F718E9"/>
    <w:rsid w:val="38EC5A42"/>
    <w:rsid w:val="3BCE5E96"/>
    <w:rsid w:val="3BF70E8C"/>
    <w:rsid w:val="3C9F785E"/>
    <w:rsid w:val="3D0851EC"/>
    <w:rsid w:val="3E061609"/>
    <w:rsid w:val="3EF845CB"/>
    <w:rsid w:val="400B5BE5"/>
    <w:rsid w:val="41515B1F"/>
    <w:rsid w:val="43F426E8"/>
    <w:rsid w:val="45037362"/>
    <w:rsid w:val="455F49FC"/>
    <w:rsid w:val="4A403492"/>
    <w:rsid w:val="4D1B4BF6"/>
    <w:rsid w:val="4F8E478C"/>
    <w:rsid w:val="50BA3673"/>
    <w:rsid w:val="51DF491C"/>
    <w:rsid w:val="52326F55"/>
    <w:rsid w:val="55684566"/>
    <w:rsid w:val="55FB0A2D"/>
    <w:rsid w:val="58443953"/>
    <w:rsid w:val="5CC24C90"/>
    <w:rsid w:val="5CCD2D2E"/>
    <w:rsid w:val="604E5940"/>
    <w:rsid w:val="61813C32"/>
    <w:rsid w:val="63F84061"/>
    <w:rsid w:val="67151A1A"/>
    <w:rsid w:val="6B0C30F4"/>
    <w:rsid w:val="77183942"/>
    <w:rsid w:val="77C9480C"/>
    <w:rsid w:val="7A597BCF"/>
    <w:rsid w:val="7AF53AFA"/>
    <w:rsid w:val="7B200261"/>
    <w:rsid w:val="7BF426F8"/>
    <w:rsid w:val="7C8F03D1"/>
    <w:rsid w:val="7ED248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3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0"/>
    <w:rPr>
      <w:b/>
      <w:bCs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ZFZX</Company>
  <Pages>8</Pages>
  <Words>2811</Words>
  <Characters>3026</Characters>
  <Lines>26</Lines>
  <Paragraphs>7</Paragraphs>
  <TotalTime>0</TotalTime>
  <ScaleCrop>false</ScaleCrop>
  <LinksUpToDate>false</LinksUpToDate>
  <CharactersWithSpaces>3041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2019-05-28T06:39:00Z</dcterms:created>
  <dc:creator>ZFZX</dc:creator>
  <cp:lastModifiedBy>Xiao</cp:lastModifiedBy>
  <cp:lastPrinted>2024-04-30T02:42:00Z</cp:lastPrinted>
  <dcterms:modified xsi:type="dcterms:W3CDTF">2024-04-30T09:30:12Z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0AC280C6D37C43B1A48E005BC5ADF46A</vt:lpwstr>
  </property>
</Properties>
</file>